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5509"/>
      </w:tblGrid>
      <w:tr w:rsidR="00F31605" w:rsidTr="00B7750E"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05" w:rsidRDefault="00F31605" w:rsidP="00B7750E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 xml:space="preserve">BỘ </w:t>
            </w:r>
            <w:r>
              <w:rPr>
                <w:b/>
                <w:bCs/>
              </w:rPr>
              <w:t>TÀI CHÍNH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05" w:rsidRDefault="00F31605" w:rsidP="00B7750E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F31605" w:rsidTr="00B7750E"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05" w:rsidRDefault="00F31605" w:rsidP="00B7750E">
            <w:pPr>
              <w:pStyle w:val="NormalWeb"/>
              <w:spacing w:before="120" w:beforeAutospacing="0"/>
              <w:jc w:val="center"/>
            </w:pPr>
            <w:r>
              <w:rPr>
                <w:lang w:val="vi-VN"/>
              </w:rPr>
              <w:t xml:space="preserve">Số: </w:t>
            </w:r>
            <w:r>
              <w:t>31</w:t>
            </w:r>
            <w:r>
              <w:rPr>
                <w:lang w:val="vi-VN"/>
              </w:rPr>
              <w:t>/2017/TT-B</w:t>
            </w:r>
            <w:r>
              <w:t>TC</w:t>
            </w:r>
          </w:p>
        </w:tc>
        <w:tc>
          <w:tcPr>
            <w:tcW w:w="5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05" w:rsidRDefault="00F31605" w:rsidP="00B7750E">
            <w:pPr>
              <w:pStyle w:val="NormalWeb"/>
              <w:spacing w:before="120" w:beforeAutospacing="0"/>
              <w:jc w:val="right"/>
            </w:pPr>
            <w:r>
              <w:rPr>
                <w:i/>
                <w:iCs/>
                <w:lang w:val="vi-VN"/>
              </w:rPr>
              <w:t>Hà Nội, ngày 18 tháng 4 năm 2017</w:t>
            </w:r>
          </w:p>
        </w:tc>
      </w:tr>
    </w:tbl>
    <w:p w:rsidR="00F31605" w:rsidRDefault="00F31605" w:rsidP="00F31605">
      <w:pPr>
        <w:pStyle w:val="NormalWeb"/>
        <w:spacing w:before="120" w:beforeAutospacing="0"/>
      </w:pPr>
      <w:r>
        <w:t> </w:t>
      </w:r>
    </w:p>
    <w:p w:rsidR="00F31605" w:rsidRDefault="00F31605" w:rsidP="00F31605">
      <w:pPr>
        <w:pStyle w:val="NormalWeb"/>
        <w:spacing w:before="120" w:beforeAutospacing="0"/>
        <w:jc w:val="center"/>
      </w:pPr>
      <w:r>
        <w:rPr>
          <w:b/>
          <w:bCs/>
          <w:lang w:val="vi-VN"/>
        </w:rPr>
        <w:t>THÔNG TƯ</w:t>
      </w:r>
    </w:p>
    <w:p w:rsidR="00F31605" w:rsidRDefault="00F31605" w:rsidP="00F31605">
      <w:pPr>
        <w:pStyle w:val="NormalWeb"/>
        <w:spacing w:before="120" w:beforeAutospacing="0"/>
        <w:jc w:val="center"/>
      </w:pPr>
      <w:r>
        <w:rPr>
          <w:lang w:val="vi-VN"/>
        </w:rPr>
        <w:t>SỬA ĐỔI, BỔ SUNG MỘT SỐ ĐIỀU CỦA THÔNG TƯ SỐ 99/2016/TT-BTC NGÀY 29/6/2016 CỦA BỘ TÀI CHÍNH HƯỚNG DẪN VỀ QUẢN LÝ HOÀN THUẾ GIÁ TRỊ GIA TĂNG</w:t>
      </w:r>
    </w:p>
    <w:p w:rsidR="00F31605" w:rsidRDefault="00F31605" w:rsidP="00F31605">
      <w:pPr>
        <w:pStyle w:val="NormalWeb"/>
        <w:spacing w:before="120" w:beforeAutospacing="0"/>
      </w:pPr>
      <w:r>
        <w:rPr>
          <w:i/>
          <w:iCs/>
          <w:lang w:val="vi-VN"/>
        </w:rPr>
        <w:t>Căn cứ Luật Quản lý thuế s</w:t>
      </w:r>
      <w:r>
        <w:rPr>
          <w:i/>
          <w:iCs/>
        </w:rPr>
        <w:t xml:space="preserve">ố </w:t>
      </w:r>
      <w:r>
        <w:rPr>
          <w:i/>
          <w:iCs/>
          <w:lang w:val="vi-VN"/>
        </w:rPr>
        <w:t>78/2006/QH11 ngày 29/11/2006; Luật số 21/2012/QH12 sửa đổi, bổ sung một số điều của Luật Quản lý thuế ngày 20/11/2012 và các văn bản hướng dẫn thi hành;</w:t>
      </w:r>
    </w:p>
    <w:p w:rsidR="00F31605" w:rsidRDefault="00F31605" w:rsidP="00F31605">
      <w:pPr>
        <w:pStyle w:val="NormalWeb"/>
        <w:spacing w:before="120" w:beforeAutospacing="0"/>
      </w:pPr>
      <w:r>
        <w:rPr>
          <w:i/>
          <w:iCs/>
          <w:lang w:val="vi-VN"/>
        </w:rPr>
        <w:t>Căn cứ Luật sửa đổi, bổ sung một số điều của các Luật về thuế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71/2014/QH13 ngày 26/11/2014 và các văn bản hướng dẫn thi hành;</w:t>
      </w:r>
    </w:p>
    <w:p w:rsidR="00F31605" w:rsidRDefault="00F31605" w:rsidP="00F31605">
      <w:pPr>
        <w:pStyle w:val="NormalWeb"/>
        <w:spacing w:before="120" w:beforeAutospacing="0"/>
      </w:pPr>
      <w:r>
        <w:rPr>
          <w:i/>
          <w:iCs/>
          <w:lang w:val="vi-VN"/>
        </w:rPr>
        <w:t>Căn cứ Luật Thuế giá trị gia tăng số 13/2008/QH12 ngày 03/6/2008; Luật sửa đổi, bổ sung một số điều của Luật Thu</w:t>
      </w:r>
      <w:r>
        <w:rPr>
          <w:i/>
          <w:iCs/>
        </w:rPr>
        <w:t xml:space="preserve">ế </w:t>
      </w:r>
      <w:r>
        <w:rPr>
          <w:i/>
          <w:iCs/>
          <w:lang w:val="vi-VN"/>
        </w:rPr>
        <w:t>giá trị gia tăng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31/2013/QH13 ngày 19/6/2013 và các văn bản hướng dẫn thi hành;</w:t>
      </w:r>
    </w:p>
    <w:p w:rsidR="00F31605" w:rsidRDefault="00F31605" w:rsidP="00F31605">
      <w:pPr>
        <w:pStyle w:val="NormalWeb"/>
        <w:spacing w:before="120" w:beforeAutospacing="0"/>
      </w:pPr>
      <w:r>
        <w:rPr>
          <w:i/>
          <w:iCs/>
          <w:lang w:val="vi-VN"/>
        </w:rPr>
        <w:t>Căn cứ Luật sửa đổi, bổ sung một số điều của Luật thuế giá trị gia tăng, Luật thuế tiêu thụ đặc biệt và Luật Quản lý thuế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106/2016/QH13 ngày 06/4/2016 và các văn bản hướng dẫn thi hành;</w:t>
      </w:r>
    </w:p>
    <w:p w:rsidR="00F31605" w:rsidRDefault="00F31605" w:rsidP="00F31605">
      <w:pPr>
        <w:pStyle w:val="NormalWeb"/>
        <w:spacing w:before="120" w:beforeAutospacing="0"/>
      </w:pPr>
      <w:r>
        <w:rPr>
          <w:i/>
          <w:iCs/>
          <w:lang w:val="vi-VN"/>
        </w:rPr>
        <w:t>Căn cứ Luật Ngân sách nhà nước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83/2015/QH</w:t>
      </w:r>
      <w:r>
        <w:rPr>
          <w:i/>
          <w:iCs/>
        </w:rPr>
        <w:t>1</w:t>
      </w:r>
      <w:r>
        <w:rPr>
          <w:i/>
          <w:iCs/>
          <w:lang w:val="vi-VN"/>
        </w:rPr>
        <w:t>3 ngày 25/6/2015 và các văn bản hướng dẫn thi hành;</w:t>
      </w:r>
    </w:p>
    <w:p w:rsidR="00F31605" w:rsidRDefault="00F31605" w:rsidP="00F31605">
      <w:pPr>
        <w:pStyle w:val="NormalWeb"/>
        <w:spacing w:before="120" w:beforeAutospacing="0"/>
      </w:pPr>
      <w:r>
        <w:rPr>
          <w:i/>
          <w:iCs/>
          <w:lang w:val="vi-VN"/>
        </w:rPr>
        <w:t>Căn cứ Nghị định số 215/2013/NĐ-CP ngày 23/12/2013 của Chính phủ quy định chức năng, nhiệm vụ, quyền hạn và cơ cấu tổ chức của Bộ Tài chính;</w:t>
      </w:r>
    </w:p>
    <w:p w:rsidR="00F31605" w:rsidRDefault="00F31605" w:rsidP="00F31605">
      <w:pPr>
        <w:pStyle w:val="NormalWeb"/>
        <w:spacing w:before="120" w:beforeAutospacing="0"/>
      </w:pPr>
      <w:r>
        <w:rPr>
          <w:i/>
          <w:iCs/>
          <w:lang w:val="vi-VN"/>
        </w:rPr>
        <w:t>Theo đề nghị của Tổng cục trưởng Tổng cục Thuế.</w:t>
      </w:r>
    </w:p>
    <w:p w:rsidR="00F31605" w:rsidRDefault="00F31605" w:rsidP="00F31605">
      <w:pPr>
        <w:pStyle w:val="NormalWeb"/>
        <w:spacing w:before="120" w:beforeAutospacing="0"/>
      </w:pPr>
      <w:r>
        <w:rPr>
          <w:i/>
          <w:iCs/>
          <w:lang w:val="vi-VN"/>
        </w:rPr>
        <w:t>Bộ trưởng Bộ Tài chính ban hành Thông tư sửa đổi, bổ sung một số điều của Thông tư số 99/2016/TT-BTC ngày 29/6/2016 của Bộ Tài chính h</w:t>
      </w:r>
      <w:proofErr w:type="spellStart"/>
      <w:r>
        <w:rPr>
          <w:i/>
          <w:iCs/>
        </w:rPr>
        <w:t>ướn</w:t>
      </w:r>
      <w:proofErr w:type="spellEnd"/>
      <w:r>
        <w:rPr>
          <w:i/>
          <w:iCs/>
          <w:lang w:val="vi-VN"/>
        </w:rPr>
        <w:t>g dẫn v</w:t>
      </w:r>
      <w:r>
        <w:rPr>
          <w:i/>
          <w:iCs/>
        </w:rPr>
        <w:t xml:space="preserve">ề </w:t>
      </w:r>
      <w:r>
        <w:rPr>
          <w:i/>
          <w:iCs/>
          <w:lang w:val="vi-VN"/>
        </w:rPr>
        <w:t>quản lý hoàn thuế giá trị gia tăng như sau:</w:t>
      </w:r>
    </w:p>
    <w:p w:rsidR="00F31605" w:rsidRDefault="00F31605" w:rsidP="00F31605">
      <w:pPr>
        <w:pStyle w:val="NormalWeb"/>
        <w:spacing w:before="120" w:beforeAutospacing="0"/>
      </w:pPr>
      <w:proofErr w:type="spellStart"/>
      <w:r>
        <w:rPr>
          <w:b/>
          <w:bCs/>
        </w:rPr>
        <w:t>Điều</w:t>
      </w:r>
      <w:proofErr w:type="spellEnd"/>
      <w:r>
        <w:rPr>
          <w:b/>
          <w:bCs/>
        </w:rPr>
        <w:t xml:space="preserve"> 1.</w:t>
      </w:r>
    </w:p>
    <w:p w:rsidR="00F31605" w:rsidRDefault="00F31605" w:rsidP="00F31605">
      <w:pPr>
        <w:pStyle w:val="NormalWeb"/>
        <w:spacing w:before="120" w:beforeAutospacing="0"/>
      </w:pPr>
      <w:r>
        <w:rPr>
          <w:b/>
          <w:bCs/>
          <w:lang w:val="vi-VN"/>
        </w:rPr>
        <w:t>Sửa đổi, bổ sung một số Điều của Thông tư số 99/2016/TT-BTC ngày 29/6/2016 của Bộ Tài chính hướng dẫn về quản lý hoàn thuế giá trị gia tăng như sau:</w:t>
      </w:r>
    </w:p>
    <w:p w:rsidR="00F31605" w:rsidRDefault="00F31605" w:rsidP="00F31605">
      <w:pPr>
        <w:pStyle w:val="NormalWeb"/>
        <w:spacing w:before="120" w:beforeAutospacing="0"/>
      </w:pPr>
      <w:r>
        <w:t xml:space="preserve">1. </w:t>
      </w:r>
      <w:bookmarkStart w:id="0" w:name="dc_1"/>
      <w:r>
        <w:rPr>
          <w:lang w:val="vi-VN"/>
        </w:rPr>
        <w:t>Điều 18 Thông tư số 99/2016/TT-BTC</w:t>
      </w:r>
      <w:bookmarkEnd w:id="0"/>
      <w:r>
        <w:rPr>
          <w:lang w:val="vi-VN"/>
        </w:rPr>
        <w:t xml:space="preserve"> ngày 29/6/2016 của Bộ Tài chính hướng dẫn về quản lý hoàn thuế giá trị gia tăng được bổ sung Khoản 4 như sau:</w:t>
      </w:r>
    </w:p>
    <w:p w:rsidR="00F31605" w:rsidRDefault="00F31605" w:rsidP="00F31605">
      <w:pPr>
        <w:pStyle w:val="NormalWeb"/>
        <w:spacing w:before="120" w:beforeAutospacing="0"/>
      </w:pPr>
      <w:r>
        <w:rPr>
          <w:lang w:val="vi-VN"/>
        </w:rPr>
        <w:lastRenderedPageBreak/>
        <w:t>“4. Cục Thuế cập nhật, hạch toán đầy đủ các Quyết định hoàn thuế/ Quyết định hoàn thuế kiêm bù trừ khoản thu ngân sách nhà nước vào Hệ thống ứng dụng quản lý thu</w:t>
      </w:r>
      <w:r>
        <w:t xml:space="preserve">ế </w:t>
      </w:r>
      <w:r>
        <w:rPr>
          <w:lang w:val="vi-VN"/>
        </w:rPr>
        <w:t>ngay trong ngày làm việc được ký ban hành.</w:t>
      </w:r>
    </w:p>
    <w:p w:rsidR="00F31605" w:rsidRDefault="00F31605" w:rsidP="00F31605">
      <w:pPr>
        <w:pStyle w:val="NormalWeb"/>
        <w:spacing w:before="120" w:beforeAutospacing="0"/>
      </w:pPr>
      <w:r>
        <w:rPr>
          <w:lang w:val="vi-VN"/>
        </w:rPr>
        <w:t>Sau khi hạch toán Quyết định hoàn thuế/ Quyết định hoàn thuế kiêm bù trừ khoản thu ngân sách nhà nước, Cục Thuế luân chuyển Quyết định hoàn thuế/Quyết định hoàn thuế kiêm bù trừ khoản thu ngân sách nhà nước và Lệnh hoàn thuế/Lệnh hoàn thuế kiêm bù trừ khoản thu ngân sách nhà nước sang Kho bạc Nhà nước ngay trong ngày làm việc hoặc chậm nhất trong ngày làm việc tiếp</w:t>
      </w:r>
      <w:r>
        <w:t xml:space="preserve"> </w:t>
      </w:r>
      <w:proofErr w:type="spellStart"/>
      <w:r>
        <w:t>theo</w:t>
      </w:r>
      <w:proofErr w:type="spellEnd"/>
      <w:r>
        <w:t>”.</w:t>
      </w:r>
    </w:p>
    <w:p w:rsidR="00F31605" w:rsidRDefault="00F31605" w:rsidP="00F31605">
      <w:pPr>
        <w:pStyle w:val="NormalWeb"/>
        <w:spacing w:before="120" w:beforeAutospacing="0"/>
      </w:pPr>
      <w:r>
        <w:rPr>
          <w:lang w:val="vi-VN"/>
        </w:rPr>
        <w:t xml:space="preserve">2. </w:t>
      </w:r>
      <w:bookmarkStart w:id="1" w:name="dc_2"/>
      <w:r>
        <w:rPr>
          <w:lang w:val="vi-VN"/>
        </w:rPr>
        <w:t>Điều 19 Thông tư số 99/2016/TT-BTC</w:t>
      </w:r>
      <w:bookmarkEnd w:id="1"/>
      <w:r>
        <w:rPr>
          <w:lang w:val="vi-VN"/>
        </w:rPr>
        <w:t xml:space="preserve"> ngày 29/6/2016 của Bộ Tài chính hướng dẫn về quản lý hoàn thuế giá trị gia tăng được sửa đổi </w:t>
      </w:r>
      <w:bookmarkStart w:id="2" w:name="dc_3"/>
      <w:r>
        <w:rPr>
          <w:lang w:val="vi-VN"/>
        </w:rPr>
        <w:t>điểm c Khoản 2</w:t>
      </w:r>
      <w:bookmarkEnd w:id="2"/>
      <w:r>
        <w:rPr>
          <w:lang w:val="vi-VN"/>
        </w:rPr>
        <w:t xml:space="preserve"> như sau:</w:t>
      </w:r>
    </w:p>
    <w:p w:rsidR="00F31605" w:rsidRDefault="00F31605" w:rsidP="00F31605">
      <w:pPr>
        <w:pStyle w:val="NormalWeb"/>
        <w:spacing w:before="120" w:beforeAutospacing="0"/>
      </w:pPr>
      <w:r>
        <w:rPr>
          <w:lang w:val="vi-VN"/>
        </w:rPr>
        <w:t>“c) Thực hiện hoàn thuế cho người nộp thuế trong thời hạn 1 (một) ngày làm việc kể từ ngày nhận được Lệnh hoàn trả khoản thu ngân sách nhà nước/ Lệnh hoàn trả kiêm bù trừ khoản thu ngân sách nhà nước do cơ quan thuế chuyển đến.”</w:t>
      </w:r>
    </w:p>
    <w:p w:rsidR="00F31605" w:rsidRDefault="00F31605" w:rsidP="00F31605">
      <w:pPr>
        <w:pStyle w:val="NormalWeb"/>
        <w:spacing w:before="120" w:beforeAutospacing="0"/>
      </w:pPr>
      <w:r>
        <w:rPr>
          <w:lang w:val="vi-VN"/>
        </w:rPr>
        <w:t xml:space="preserve">3. </w:t>
      </w:r>
      <w:bookmarkStart w:id="3" w:name="dc_4"/>
      <w:r>
        <w:rPr>
          <w:lang w:val="vi-VN"/>
        </w:rPr>
        <w:t>Điều 20 Thông tư số 99/2016/TT-BTC</w:t>
      </w:r>
      <w:bookmarkEnd w:id="3"/>
      <w:r>
        <w:rPr>
          <w:lang w:val="vi-VN"/>
        </w:rPr>
        <w:t xml:space="preserve"> ngày 29/6/2016 của Bộ Tài chính hướng dẫn về quản lý hoàn thuế giá trị gia tăng được sửa đổi </w:t>
      </w:r>
      <w:bookmarkStart w:id="4" w:name="dc_5"/>
      <w:r>
        <w:rPr>
          <w:lang w:val="vi-VN"/>
        </w:rPr>
        <w:t>Khoản 2</w:t>
      </w:r>
      <w:bookmarkEnd w:id="4"/>
      <w:r>
        <w:rPr>
          <w:lang w:val="vi-VN"/>
        </w:rPr>
        <w:t xml:space="preserve"> như sau:</w:t>
      </w:r>
    </w:p>
    <w:p w:rsidR="00F31605" w:rsidRDefault="00F31605" w:rsidP="00F31605">
      <w:pPr>
        <w:pStyle w:val="NormalWeb"/>
        <w:spacing w:before="120" w:beforeAutospacing="0"/>
      </w:pPr>
      <w:r>
        <w:rPr>
          <w:lang w:val="vi-VN"/>
        </w:rPr>
        <w:t>“2. Cơ quan thuế công khai trên Cổng thông tin điện tử của Tổng cục Thu</w:t>
      </w:r>
      <w:r>
        <w:t xml:space="preserve">ế </w:t>
      </w:r>
      <w:r>
        <w:rPr>
          <w:lang w:val="vi-VN"/>
        </w:rPr>
        <w:t>về:</w:t>
      </w:r>
    </w:p>
    <w:p w:rsidR="00F31605" w:rsidRDefault="00F31605" w:rsidP="00F31605">
      <w:pPr>
        <w:pStyle w:val="NormalWeb"/>
        <w:spacing w:before="120" w:beforeAutospacing="0"/>
      </w:pPr>
      <w:r>
        <w:rPr>
          <w:lang w:val="vi-VN"/>
        </w:rPr>
        <w:t>- Thời điểm tiếp nhận hồ sơ hoàn thuế; thời điểm tiếp nhận văn bản giải trình, bổ sung thông tin, tài liệu của người nộp thuế.</w:t>
      </w:r>
    </w:p>
    <w:p w:rsidR="00F31605" w:rsidRDefault="00F31605" w:rsidP="00F31605">
      <w:pPr>
        <w:pStyle w:val="NormalWeb"/>
        <w:spacing w:before="120" w:beforeAutospacing="0"/>
      </w:pPr>
      <w:r>
        <w:rPr>
          <w:lang w:val="vi-VN"/>
        </w:rPr>
        <w:t>- Thời điểm ban hành thông báo, quyết định giải quyết hoàn thuế giá trị gia tăng của cơ quan thuế.</w:t>
      </w:r>
    </w:p>
    <w:p w:rsidR="00F31605" w:rsidRDefault="00F31605" w:rsidP="00F31605">
      <w:pPr>
        <w:pStyle w:val="NormalWeb"/>
        <w:spacing w:before="120" w:beforeAutospacing="0"/>
      </w:pPr>
      <w:r>
        <w:rPr>
          <w:lang w:val="vi-VN"/>
        </w:rPr>
        <w:t>- Thời điểm Kho bạc Nhà nước chi hoàn thuế cho người nộp thuế.”</w:t>
      </w:r>
    </w:p>
    <w:p w:rsidR="00F31605" w:rsidRDefault="00F31605" w:rsidP="00F31605">
      <w:pPr>
        <w:pStyle w:val="NormalWeb"/>
        <w:spacing w:before="120" w:beforeAutospacing="0"/>
      </w:pPr>
      <w:r>
        <w:rPr>
          <w:b/>
          <w:bCs/>
          <w:lang w:val="vi-VN"/>
        </w:rPr>
        <w:t>Điều 2. Hiệu lực thi hành</w:t>
      </w:r>
    </w:p>
    <w:p w:rsidR="00F31605" w:rsidRDefault="00F31605" w:rsidP="00F31605">
      <w:pPr>
        <w:pStyle w:val="NormalWeb"/>
        <w:spacing w:before="120" w:beforeAutospacing="0"/>
      </w:pPr>
      <w:r>
        <w:rPr>
          <w:lang w:val="vi-VN"/>
        </w:rPr>
        <w:t>Thông tư này có hiệu lực thi hành kể từ ngày</w:t>
      </w:r>
      <w:r>
        <w:t xml:space="preserve"> 02</w:t>
      </w:r>
      <w:r>
        <w:rPr>
          <w:lang w:val="vi-VN"/>
        </w:rPr>
        <w:t xml:space="preserve"> tháng 6 năm 2017.</w:t>
      </w:r>
    </w:p>
    <w:p w:rsidR="00F31605" w:rsidRDefault="00F31605" w:rsidP="00F31605">
      <w:pPr>
        <w:pStyle w:val="NormalWeb"/>
        <w:spacing w:before="120" w:beforeAutospacing="0"/>
      </w:pPr>
      <w:r>
        <w:rPr>
          <w:lang w:val="vi-VN"/>
        </w:rPr>
        <w:t>Trong quá trình thực hiện nếu có vướng mắc, đề nghị các tổ chức, cá nhân phản ánh kịp thời về Bộ Tài chính để nghiên c</w:t>
      </w:r>
      <w:r>
        <w:t>ứ</w:t>
      </w:r>
      <w:r>
        <w:rPr>
          <w:lang w:val="vi-VN"/>
        </w:rPr>
        <w:t>u giải quyết./</w:t>
      </w:r>
      <w:r>
        <w:t>.</w:t>
      </w:r>
    </w:p>
    <w:p w:rsidR="00F31605" w:rsidRDefault="00F31605" w:rsidP="00F31605">
      <w:pPr>
        <w:pStyle w:val="NormalWeb"/>
        <w:spacing w:before="120" w:beforeAutospacing="0"/>
      </w:pPr>
      <w:r>
        <w:rPr>
          <w:b/>
          <w:bCs/>
        </w:rPr>
        <w:t> </w:t>
      </w:r>
    </w:p>
    <w:tbl>
      <w:tblPr>
        <w:tblW w:w="0" w:type="auto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3"/>
        <w:gridCol w:w="4430"/>
      </w:tblGrid>
      <w:tr w:rsidR="00F31605" w:rsidTr="00B7750E"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05" w:rsidRDefault="00F31605" w:rsidP="00B7750E">
            <w:pPr>
              <w:pStyle w:val="NormalWeb"/>
              <w:snapToGrid w:val="0"/>
              <w:spacing w:before="120" w:beforeAutospacing="0"/>
            </w:pPr>
            <w:r>
              <w:rPr>
                <w:lang w:val="vi-VN"/>
              </w:rPr>
              <w:t> </w:t>
            </w:r>
          </w:p>
          <w:p w:rsidR="00F31605" w:rsidRDefault="00F31605" w:rsidP="00B7750E">
            <w:pPr>
              <w:pStyle w:val="NormalWeb"/>
              <w:spacing w:before="120" w:beforeAutospacing="0"/>
            </w:pPr>
            <w:r>
              <w:rPr>
                <w:b/>
                <w:bCs/>
                <w:i/>
                <w:iCs/>
                <w:lang w:val="vi-VN"/>
              </w:rPr>
              <w:t>Nơi nhận:</w:t>
            </w:r>
            <w:r>
              <w:rPr>
                <w:i/>
                <w:iCs/>
                <w:lang w:val="vi-VN"/>
              </w:rPr>
              <w:br/>
            </w:r>
            <w:r>
              <w:rPr>
                <w:sz w:val="16"/>
                <w:szCs w:val="16"/>
                <w:lang w:val="vi-VN"/>
              </w:rPr>
              <w:t>- Văn phòng Trung ương và các Ban của Đảng;</w:t>
            </w:r>
            <w:r>
              <w:rPr>
                <w:sz w:val="16"/>
                <w:szCs w:val="16"/>
                <w:lang w:val="vi-VN"/>
              </w:rPr>
              <w:br/>
              <w:t>- Văn phòng Quốc hội;</w:t>
            </w:r>
            <w:r>
              <w:rPr>
                <w:sz w:val="16"/>
                <w:szCs w:val="16"/>
                <w:lang w:val="vi-VN"/>
              </w:rPr>
              <w:br/>
              <w:t>- Văn phòng Chủ tịch nước;</w:t>
            </w:r>
            <w:r>
              <w:rPr>
                <w:sz w:val="16"/>
                <w:szCs w:val="16"/>
                <w:lang w:val="vi-VN"/>
              </w:rPr>
              <w:br/>
              <w:t>- Văn phòng Tổng Bí thư;</w:t>
            </w:r>
            <w:r>
              <w:rPr>
                <w:sz w:val="16"/>
                <w:szCs w:val="16"/>
                <w:lang w:val="vi-VN"/>
              </w:rPr>
              <w:br/>
              <w:t>- Viện Kiểm sát nhân dân tối cao;</w:t>
            </w:r>
            <w:r>
              <w:rPr>
                <w:sz w:val="16"/>
                <w:szCs w:val="16"/>
                <w:lang w:val="vi-VN"/>
              </w:rPr>
              <w:br/>
              <w:t>- Ban nội chính trung ương;</w:t>
            </w:r>
            <w:r>
              <w:rPr>
                <w:sz w:val="16"/>
                <w:szCs w:val="16"/>
                <w:lang w:val="vi-VN"/>
              </w:rPr>
              <w:br/>
            </w:r>
            <w:r>
              <w:rPr>
                <w:sz w:val="16"/>
                <w:szCs w:val="16"/>
                <w:lang w:val="vi-VN"/>
              </w:rPr>
              <w:lastRenderedPageBreak/>
              <w:t>- T</w:t>
            </w:r>
            <w:proofErr w:type="spellStart"/>
            <w:r>
              <w:rPr>
                <w:sz w:val="16"/>
                <w:szCs w:val="16"/>
              </w:rPr>
              <w:t>òa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vi-VN"/>
              </w:rPr>
              <w:t xml:space="preserve">án nhân dân tối cao;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vi-VN"/>
              </w:rPr>
              <w:t>- Kiểm toán nhà nước;</w:t>
            </w:r>
            <w:r>
              <w:rPr>
                <w:sz w:val="16"/>
                <w:szCs w:val="16"/>
                <w:lang w:val="vi-VN"/>
              </w:rPr>
              <w:br/>
              <w:t>- Các Bộ, cơ quan ngang Bộ, cơ quan thuộc Chính phủ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vi-VN"/>
              </w:rPr>
              <w:t>- Cơ quan Trung ương của các đoàn thể;</w:t>
            </w:r>
            <w:r>
              <w:rPr>
                <w:sz w:val="16"/>
                <w:szCs w:val="16"/>
                <w:lang w:val="vi-VN"/>
              </w:rPr>
              <w:br/>
              <w:t>- Hội đồng nhân dân, Ủy ban nhân dân, Sở Tài chính, Cục Thuế, Kho bạc nhà nước các tỉnh, thành phố trực thuộc Trung ương;</w:t>
            </w:r>
            <w:r>
              <w:rPr>
                <w:sz w:val="16"/>
                <w:szCs w:val="16"/>
                <w:lang w:val="vi-VN"/>
              </w:rPr>
              <w:br/>
              <w:t>- Công báo;</w:t>
            </w:r>
            <w:r>
              <w:rPr>
                <w:sz w:val="16"/>
                <w:szCs w:val="16"/>
                <w:lang w:val="vi-VN"/>
              </w:rPr>
              <w:br/>
              <w:t>- Cục Kiểm tra văn bản (Bộ Tư pháp);</w:t>
            </w:r>
            <w:r>
              <w:rPr>
                <w:sz w:val="16"/>
                <w:szCs w:val="16"/>
                <w:lang w:val="vi-VN"/>
              </w:rPr>
              <w:br/>
              <w:t>- Website Chính phủ;</w:t>
            </w:r>
            <w:r>
              <w:rPr>
                <w:sz w:val="16"/>
                <w:szCs w:val="16"/>
                <w:lang w:val="vi-VN"/>
              </w:rPr>
              <w:br/>
              <w:t>- Website Bộ Tài chính; Website Tổng cục Thuế;</w:t>
            </w:r>
            <w:r>
              <w:rPr>
                <w:sz w:val="16"/>
                <w:szCs w:val="16"/>
                <w:lang w:val="vi-VN"/>
              </w:rPr>
              <w:br/>
              <w:t>- Các đơn vị thuộc Bộ Tài chính;</w:t>
            </w:r>
            <w:r>
              <w:rPr>
                <w:sz w:val="16"/>
                <w:szCs w:val="16"/>
                <w:lang w:val="vi-VN"/>
              </w:rPr>
              <w:br/>
              <w:t>- Lưu: VT, TCT.</w:t>
            </w:r>
          </w:p>
        </w:tc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05" w:rsidRDefault="00F31605" w:rsidP="00B7750E">
            <w:pPr>
              <w:pStyle w:val="NormalWeb"/>
              <w:snapToGrid w:val="0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lastRenderedPageBreak/>
              <w:t>KT. BỘ TRƯỞNG</w:t>
            </w:r>
            <w:r>
              <w:rPr>
                <w:b/>
                <w:bCs/>
                <w:lang w:val="vi-VN"/>
              </w:rPr>
              <w:br/>
              <w:t>THỨ TRƯỞNG</w:t>
            </w:r>
            <w:r>
              <w:rPr>
                <w:b/>
                <w:bCs/>
                <w:lang w:val="vi-VN"/>
              </w:rPr>
              <w:br/>
            </w:r>
            <w:r>
              <w:rPr>
                <w:b/>
                <w:bCs/>
                <w:lang w:val="vi-VN"/>
              </w:rPr>
              <w:br/>
            </w:r>
            <w:r>
              <w:rPr>
                <w:b/>
                <w:bCs/>
                <w:lang w:val="vi-VN"/>
              </w:rPr>
              <w:br/>
            </w:r>
            <w:r>
              <w:rPr>
                <w:b/>
                <w:bCs/>
                <w:lang w:val="vi-VN"/>
              </w:rPr>
              <w:br/>
            </w:r>
            <w:r>
              <w:rPr>
                <w:b/>
                <w:bCs/>
                <w:lang w:val="vi-VN"/>
              </w:rPr>
              <w:br/>
            </w:r>
            <w:proofErr w:type="spellStart"/>
            <w:r>
              <w:rPr>
                <w:b/>
                <w:bCs/>
              </w:rPr>
              <w:t>Đỗ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Hoàng</w:t>
            </w:r>
            <w:proofErr w:type="spellEnd"/>
            <w:r>
              <w:rPr>
                <w:b/>
                <w:bCs/>
              </w:rPr>
              <w:t xml:space="preserve"> Anh </w:t>
            </w:r>
            <w:proofErr w:type="spellStart"/>
            <w:r>
              <w:rPr>
                <w:b/>
                <w:bCs/>
              </w:rPr>
              <w:t>Tuấn</w:t>
            </w:r>
            <w:proofErr w:type="spellEnd"/>
          </w:p>
        </w:tc>
      </w:tr>
    </w:tbl>
    <w:p w:rsidR="00F31605" w:rsidRDefault="00F31605" w:rsidP="00F31605">
      <w:pPr>
        <w:pStyle w:val="NormalWeb"/>
        <w:spacing w:before="120" w:beforeAutospacing="0"/>
      </w:pPr>
      <w:r>
        <w:rPr>
          <w:b/>
          <w:bCs/>
        </w:rPr>
        <w:t> </w:t>
      </w:r>
    </w:p>
    <w:p w:rsidR="00B2729B" w:rsidRDefault="00F31605">
      <w:bookmarkStart w:id="5" w:name="_GoBack"/>
      <w:bookmarkEnd w:id="5"/>
    </w:p>
    <w:sectPr w:rsidR="00B27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05"/>
    <w:rsid w:val="00490B4D"/>
    <w:rsid w:val="00A25B79"/>
    <w:rsid w:val="00F3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A0AF0-4568-47A8-80A2-C43A9F69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6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Thanh Ha</dc:creator>
  <cp:keywords/>
  <dc:description/>
  <cp:lastModifiedBy>Vu Thanh Ha</cp:lastModifiedBy>
  <cp:revision>1</cp:revision>
  <dcterms:created xsi:type="dcterms:W3CDTF">2018-01-04T07:25:00Z</dcterms:created>
  <dcterms:modified xsi:type="dcterms:W3CDTF">2018-01-04T07:26:00Z</dcterms:modified>
</cp:coreProperties>
</file>